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1438" w14:textId="1EE93D79" w:rsidR="00C06B35" w:rsidRDefault="00D51A62">
      <w:r>
        <w:rPr>
          <w:rFonts w:ascii="Sylfaen" w:hAnsi="Sylfaen"/>
          <w:noProof/>
        </w:rPr>
        <w:drawing>
          <wp:inline distT="0" distB="0" distL="0" distR="0" wp14:anchorId="728FBC43" wp14:editId="0F363B46">
            <wp:extent cx="1590675" cy="8622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logo_ 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E3AD" w14:textId="73EF77C7" w:rsidR="00191C1F" w:rsidRDefault="00191C1F"/>
    <w:p w14:paraId="44D2FD29" w14:textId="77777777" w:rsidR="002327E5" w:rsidRDefault="002327E5"/>
    <w:p w14:paraId="60395B81" w14:textId="482718A5" w:rsidR="00D87917" w:rsidRPr="0031219A" w:rsidRDefault="00C06B35" w:rsidP="00C06B35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სოციოლოგიური კვლევის </w:t>
      </w:r>
      <w:r w:rsidR="00F15637">
        <w:rPr>
          <w:rFonts w:ascii="Sylfaen" w:hAnsi="Sylfaen"/>
          <w:lang w:val="ka-GE"/>
        </w:rPr>
        <w:t>ჩატარებ</w:t>
      </w:r>
      <w:r w:rsidR="00C37F63">
        <w:rPr>
          <w:rFonts w:ascii="Sylfaen" w:hAnsi="Sylfaen"/>
          <w:lang w:val="ka-GE"/>
        </w:rPr>
        <w:t>აზე მომსახურების</w:t>
      </w:r>
      <w:r w:rsidR="00AC69AB">
        <w:rPr>
          <w:rFonts w:ascii="Sylfaen" w:hAnsi="Sylfaen"/>
          <w:lang w:val="ka-GE"/>
        </w:rPr>
        <w:br/>
        <w:t xml:space="preserve">ხელშეკრულების </w:t>
      </w:r>
      <w:r w:rsidR="002258DA">
        <w:rPr>
          <w:rFonts w:ascii="Sylfaen" w:hAnsi="Sylfaen"/>
          <w:lang w:val="ka-GE"/>
        </w:rPr>
        <w:t>დამაზუსტებელი</w:t>
      </w:r>
      <w:r w:rsidR="005B1837">
        <w:rPr>
          <w:rFonts w:ascii="Sylfaen" w:hAnsi="Sylfaen"/>
          <w:lang w:val="ka-GE"/>
        </w:rPr>
        <w:t xml:space="preserve"> </w:t>
      </w:r>
      <w:r w:rsidR="002258DA">
        <w:rPr>
          <w:rFonts w:ascii="Sylfaen" w:hAnsi="Sylfaen"/>
          <w:lang w:val="ka-GE"/>
        </w:rPr>
        <w:t>პირობები</w:t>
      </w:r>
      <w:r w:rsidR="0031219A">
        <w:rPr>
          <w:rFonts w:ascii="Sylfaen" w:hAnsi="Sylfaen"/>
          <w:lang w:val="ka-GE"/>
        </w:rPr>
        <w:br/>
      </w:r>
      <w:r w:rsidR="0031219A">
        <w:rPr>
          <w:rFonts w:ascii="Sylfaen" w:hAnsi="Sylfaen"/>
          <w:lang w:val="de-DE"/>
        </w:rPr>
        <w:t>(</w:t>
      </w:r>
      <w:r w:rsidR="0031219A">
        <w:rPr>
          <w:rFonts w:ascii="Sylfaen" w:hAnsi="Sylfaen"/>
        </w:rPr>
        <w:t>Terms of References)</w:t>
      </w:r>
    </w:p>
    <w:p w14:paraId="38071C4F" w14:textId="3E57178F" w:rsidR="00191C1F" w:rsidRDefault="00191C1F" w:rsidP="00C73321">
      <w:pPr>
        <w:rPr>
          <w:rFonts w:ascii="Sylfaen" w:hAnsi="Sylfaen"/>
          <w:lang w:val="ka-GE"/>
        </w:rPr>
      </w:pPr>
    </w:p>
    <w:p w14:paraId="2E2F9EE5" w14:textId="77777777" w:rsidR="002327E5" w:rsidRDefault="002327E5" w:rsidP="00C73321">
      <w:pPr>
        <w:rPr>
          <w:rFonts w:ascii="Sylfaen" w:hAnsi="Sylfaen"/>
          <w:lang w:val="ka-GE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340"/>
        <w:gridCol w:w="3060"/>
        <w:gridCol w:w="2430"/>
        <w:gridCol w:w="1710"/>
      </w:tblGrid>
      <w:tr w:rsidR="00D87917" w:rsidRPr="00587C84" w14:paraId="0AFCB59E" w14:textId="77777777" w:rsidTr="006B039A">
        <w:trPr>
          <w:trHeight w:val="256"/>
        </w:trPr>
        <w:tc>
          <w:tcPr>
            <w:tcW w:w="9540" w:type="dxa"/>
            <w:gridSpan w:val="4"/>
            <w:shd w:val="clear" w:color="auto" w:fill="E0E0E0"/>
          </w:tcPr>
          <w:p w14:paraId="61E78C42" w14:textId="77777777" w:rsidR="00D87917" w:rsidRPr="00587C84" w:rsidRDefault="00D87917" w:rsidP="003C0605">
            <w:pPr>
              <w:spacing w:before="30" w:after="3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val="en-AU"/>
              </w:rPr>
            </w:pPr>
            <w:r w:rsidRPr="00587C84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ძირითადი ინფორმაცია მომსახურების შესახებ</w:t>
            </w:r>
          </w:p>
        </w:tc>
      </w:tr>
      <w:tr w:rsidR="00C65146" w:rsidRPr="00587C84" w14:paraId="136CCDC9" w14:textId="77777777" w:rsidTr="006B039A">
        <w:tc>
          <w:tcPr>
            <w:tcW w:w="2340" w:type="dxa"/>
            <w:shd w:val="clear" w:color="auto" w:fill="E0E0E0"/>
          </w:tcPr>
          <w:p w14:paraId="1BD0289F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060" w:type="dxa"/>
          </w:tcPr>
          <w:p w14:paraId="1BB31469" w14:textId="327FB1D4" w:rsidR="00D87917" w:rsidRPr="00587C84" w:rsidRDefault="00D87917" w:rsidP="003C0605">
            <w:pPr>
              <w:spacing w:before="30" w:after="30" w:line="240" w:lineRule="auto"/>
              <w:ind w:left="136"/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 w:eastAsia="en-AU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 w:eastAsia="en-AU"/>
              </w:rPr>
              <w:t>მოსახლეობის განწყობების კვლევა</w:t>
            </w:r>
          </w:p>
        </w:tc>
        <w:tc>
          <w:tcPr>
            <w:tcW w:w="2430" w:type="dxa"/>
            <w:shd w:val="clear" w:color="auto" w:fill="E0E0E0"/>
          </w:tcPr>
          <w:p w14:paraId="4022BFE9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კონტრაქტის ტიპი</w:t>
            </w:r>
          </w:p>
        </w:tc>
        <w:tc>
          <w:tcPr>
            <w:tcW w:w="1710" w:type="dxa"/>
          </w:tcPr>
          <w:p w14:paraId="1029173A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/>
              </w:rPr>
              <w:t>მომსახურების ხელშეკრულება</w:t>
            </w:r>
          </w:p>
        </w:tc>
      </w:tr>
      <w:tr w:rsidR="00D87917" w:rsidRPr="00587C84" w14:paraId="000DDC1C" w14:textId="77777777" w:rsidTr="006B039A">
        <w:trPr>
          <w:trHeight w:val="346"/>
        </w:trPr>
        <w:tc>
          <w:tcPr>
            <w:tcW w:w="2340" w:type="dxa"/>
            <w:shd w:val="clear" w:color="auto" w:fill="E0E0E0"/>
          </w:tcPr>
          <w:p w14:paraId="501F56F5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ანგარიშვალდებულება</w:t>
            </w:r>
          </w:p>
        </w:tc>
        <w:tc>
          <w:tcPr>
            <w:tcW w:w="7200" w:type="dxa"/>
            <w:gridSpan w:val="3"/>
          </w:tcPr>
          <w:p w14:paraId="5D57E505" w14:textId="3C472D56" w:rsidR="00D87917" w:rsidRDefault="00D87917" w:rsidP="00B737F8">
            <w:pPr>
              <w:spacing w:before="30" w:after="3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სოციალური სამართლიანობის ცენტრის </w:t>
            </w:r>
            <w:r w:rsidR="00FD5C3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მართლმსაჯულებისა და დემოკრატიის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B737F8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პროგრამის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დირექტორი; </w:t>
            </w:r>
          </w:p>
          <w:p w14:paraId="0FF9DFDD" w14:textId="67D5DD3E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en-AU"/>
              </w:rPr>
            </w:pPr>
          </w:p>
        </w:tc>
      </w:tr>
      <w:tr w:rsidR="00C65146" w:rsidRPr="00587C84" w14:paraId="4D8CD354" w14:textId="77777777" w:rsidTr="006B039A">
        <w:tc>
          <w:tcPr>
            <w:tcW w:w="2340" w:type="dxa"/>
            <w:shd w:val="clear" w:color="auto" w:fill="E0E0E0"/>
          </w:tcPr>
          <w:p w14:paraId="2EC1C1D7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3060" w:type="dxa"/>
          </w:tcPr>
          <w:p w14:paraId="5A361A44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სოციალური სამართლიანობის ცენტრი</w:t>
            </w:r>
          </w:p>
        </w:tc>
        <w:tc>
          <w:tcPr>
            <w:tcW w:w="2430" w:type="dxa"/>
            <w:shd w:val="clear" w:color="auto" w:fill="E0E0E0"/>
          </w:tcPr>
          <w:p w14:paraId="689A7CEA" w14:textId="77777777" w:rsidR="00D87917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დაკვეთის შესრულების </w:t>
            </w:r>
          </w:p>
          <w:p w14:paraId="09B71186" w14:textId="77777777" w:rsidR="00D87917" w:rsidRPr="00587C84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ადგილმდებარეობა</w:t>
            </w:r>
          </w:p>
        </w:tc>
        <w:tc>
          <w:tcPr>
            <w:tcW w:w="1710" w:type="dxa"/>
          </w:tcPr>
          <w:p w14:paraId="6E630AB4" w14:textId="77777777" w:rsidR="00192B27" w:rsidRDefault="00B737F8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თბილისი/</w:t>
            </w:r>
          </w:p>
          <w:p w14:paraId="4F280677" w14:textId="1F8FE579" w:rsidR="00D87917" w:rsidRPr="00B737F8" w:rsidRDefault="00B737F8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რეგიონები</w:t>
            </w:r>
          </w:p>
        </w:tc>
      </w:tr>
    </w:tbl>
    <w:p w14:paraId="6958E21C" w14:textId="3C4A7370" w:rsidR="00C06B35" w:rsidRDefault="005B1837" w:rsidP="00D879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0ACABDE5" w14:textId="6D3C6F44" w:rsidR="00736252" w:rsidRDefault="00736252" w:rsidP="00736252">
      <w:pPr>
        <w:rPr>
          <w:rFonts w:ascii="Sylfaen" w:eastAsia="Times New Roman" w:hAnsi="Sylfaen" w:cs="Times New Roman"/>
          <w:b/>
          <w:bCs/>
          <w:u w:val="single"/>
          <w:lang w:val="ka-GE"/>
        </w:rPr>
      </w:pPr>
      <w:r w:rsidRPr="005E4C10">
        <w:rPr>
          <w:rFonts w:ascii="Sylfaen" w:eastAsia="Times New Roman" w:hAnsi="Sylfaen" w:cs="Times New Roman"/>
          <w:b/>
          <w:bCs/>
          <w:u w:val="single"/>
          <w:lang w:val="ka-GE"/>
        </w:rPr>
        <w:t>პროექტის</w:t>
      </w:r>
      <w:r w:rsidR="00D92AE0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</w:t>
      </w:r>
      <w:r w:rsidR="00D92AE0" w:rsidRPr="005E4C10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ზოგადი </w:t>
      </w:r>
      <w:r w:rsidRPr="005E4C10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მიმოხილვა: </w:t>
      </w:r>
    </w:p>
    <w:p w14:paraId="5449B7AB" w14:textId="7DCD06F3" w:rsidR="0074362F" w:rsidRDefault="00736252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 w:rsidRPr="00723627">
        <w:rPr>
          <w:rFonts w:ascii="Sylfaen" w:hAnsi="Sylfaen"/>
          <w:sz w:val="22"/>
          <w:szCs w:val="22"/>
          <w:lang w:val="ka-GE"/>
        </w:rPr>
        <w:t xml:space="preserve">სოციალური სამართლიანობის ცენტრი </w:t>
      </w:r>
      <w:r w:rsidR="00D92AE0" w:rsidRPr="00723627">
        <w:rPr>
          <w:rFonts w:ascii="Sylfaen" w:hAnsi="Sylfaen"/>
          <w:sz w:val="22"/>
          <w:szCs w:val="22"/>
          <w:lang w:val="ka-GE"/>
        </w:rPr>
        <w:t>(ყოფილი EMC) დაარსდა 2012 წელს და წარმოადგენს ადამიანის უფლებებსა და სოციალურ სამართლიანობაზე მომუშავე ორგანიზაციას. 2022 წლიდან, სოციალური სამართლიანობის ცენტრი</w:t>
      </w:r>
      <w:r w:rsidR="00723627" w:rsidRPr="00723627">
        <w:rPr>
          <w:rFonts w:ascii="Sylfaen" w:hAnsi="Sylfaen"/>
          <w:sz w:val="22"/>
          <w:szCs w:val="22"/>
          <w:lang w:val="ka-GE"/>
        </w:rPr>
        <w:t xml:space="preserve"> ჩართულია ევროკავშირის ფინანსური მხარდაჭერით მიმდინარე პროექტში “</w:t>
      </w:r>
      <w:r w:rsidR="00723627" w:rsidRPr="00723627">
        <w:rPr>
          <w:rFonts w:ascii="Sylfaen" w:hAnsi="Sylfaen"/>
          <w:b/>
          <w:bCs/>
          <w:sz w:val="22"/>
          <w:szCs w:val="22"/>
          <w:lang w:val="ka-GE"/>
        </w:rPr>
        <w:t>Empowering civil society and professional organizations to ensure safe, secure and accountable society in Georgia”</w:t>
      </w:r>
      <w:r w:rsidR="00723627" w:rsidRPr="00723627">
        <w:rPr>
          <w:rFonts w:ascii="Sylfaen" w:hAnsi="Sylfaen"/>
          <w:bCs/>
          <w:sz w:val="22"/>
          <w:szCs w:val="22"/>
          <w:lang w:val="ka-GE"/>
        </w:rPr>
        <w:t xml:space="preserve">, რომლის ფარგლებშიც ახორციელებს ქართული ნარკოპოლიტიკის </w:t>
      </w:r>
      <w:r w:rsidR="00723627">
        <w:rPr>
          <w:rFonts w:ascii="Sylfaen" w:hAnsi="Sylfaen"/>
          <w:bCs/>
          <w:sz w:val="22"/>
          <w:szCs w:val="22"/>
          <w:lang w:val="ka-GE"/>
        </w:rPr>
        <w:t xml:space="preserve">პოზიტიური გარდაქმნისთვის საჭირო აქტივობებსა და </w:t>
      </w:r>
      <w:r w:rsidR="000445A4">
        <w:rPr>
          <w:rFonts w:ascii="Sylfaen" w:hAnsi="Sylfaen"/>
          <w:bCs/>
          <w:sz w:val="22"/>
          <w:szCs w:val="22"/>
          <w:lang w:val="ka-GE"/>
        </w:rPr>
        <w:t xml:space="preserve">ამისათვის საჭირო </w:t>
      </w:r>
      <w:r w:rsidR="00723627">
        <w:rPr>
          <w:rFonts w:ascii="Sylfaen" w:hAnsi="Sylfaen"/>
          <w:bCs/>
          <w:sz w:val="22"/>
          <w:szCs w:val="22"/>
          <w:lang w:val="ka-GE"/>
        </w:rPr>
        <w:t>კვლევით საქმიანობას.</w:t>
      </w:r>
      <w:r w:rsidR="0074362F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240837">
        <w:rPr>
          <w:rFonts w:ascii="Sylfaen" w:hAnsi="Sylfaen"/>
          <w:bCs/>
          <w:sz w:val="22"/>
          <w:szCs w:val="22"/>
          <w:lang w:val="ka-GE"/>
        </w:rPr>
        <w:t>დაგეგმილი კვლევის ფარგლებში</w:t>
      </w:r>
      <w:r w:rsidR="005C6EC0">
        <w:rPr>
          <w:rFonts w:ascii="Sylfaen" w:hAnsi="Sylfaen"/>
          <w:bCs/>
          <w:sz w:val="22"/>
          <w:szCs w:val="22"/>
          <w:lang w:val="ka-GE"/>
        </w:rPr>
        <w:t>,</w:t>
      </w:r>
      <w:r w:rsidR="00240837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48656D">
        <w:rPr>
          <w:rFonts w:ascii="Sylfaen" w:hAnsi="Sylfaen"/>
          <w:bCs/>
          <w:sz w:val="22"/>
          <w:szCs w:val="22"/>
          <w:lang w:val="ka-GE"/>
        </w:rPr>
        <w:t xml:space="preserve">ნარკოპოლიტიკის საკითხზე </w:t>
      </w:r>
      <w:r w:rsidR="00FC5BE5">
        <w:rPr>
          <w:rFonts w:ascii="Sylfaen" w:hAnsi="Sylfaen"/>
          <w:bCs/>
          <w:sz w:val="22"/>
          <w:szCs w:val="22"/>
          <w:lang w:val="ka-GE"/>
        </w:rPr>
        <w:t xml:space="preserve">უნდა მომზადდეს </w:t>
      </w:r>
      <w:r w:rsidR="0048656D">
        <w:rPr>
          <w:rFonts w:ascii="Sylfaen" w:hAnsi="Sylfaen"/>
          <w:bCs/>
          <w:sz w:val="22"/>
          <w:szCs w:val="22"/>
          <w:lang w:val="ka-GE"/>
        </w:rPr>
        <w:t xml:space="preserve">საზოგადოებრივი განწყობის კვლევა, რაოდენობრივი კვლევის მეთოდების გამოყენებით. </w:t>
      </w:r>
    </w:p>
    <w:p w14:paraId="23621288" w14:textId="6F2B2DEA" w:rsidR="006E7D1C" w:rsidRDefault="0048656D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ქართული ნარკოპოლიტიკა წლების მანძილზე </w:t>
      </w:r>
      <w:r w:rsidR="0074362F">
        <w:rPr>
          <w:rFonts w:ascii="Sylfaen" w:hAnsi="Sylfaen"/>
          <w:bCs/>
          <w:sz w:val="22"/>
          <w:szCs w:val="22"/>
          <w:lang w:val="ka-GE"/>
        </w:rPr>
        <w:t xml:space="preserve">არაერთი </w:t>
      </w:r>
      <w:r>
        <w:rPr>
          <w:rFonts w:ascii="Sylfaen" w:hAnsi="Sylfaen"/>
          <w:bCs/>
          <w:sz w:val="22"/>
          <w:szCs w:val="22"/>
          <w:lang w:val="ka-GE"/>
        </w:rPr>
        <w:t xml:space="preserve">ადგილობრივი თუ საერთაშორისო ორგანიზაციისა </w:t>
      </w:r>
      <w:r w:rsidR="00904863">
        <w:rPr>
          <w:rFonts w:ascii="Sylfaen" w:hAnsi="Sylfaen"/>
          <w:bCs/>
          <w:sz w:val="22"/>
          <w:szCs w:val="22"/>
          <w:lang w:val="ka-GE"/>
        </w:rPr>
        <w:t>თუ</w:t>
      </w:r>
      <w:r>
        <w:rPr>
          <w:rFonts w:ascii="Sylfaen" w:hAnsi="Sylfaen"/>
          <w:bCs/>
          <w:sz w:val="22"/>
          <w:szCs w:val="22"/>
          <w:lang w:val="ka-GE"/>
        </w:rPr>
        <w:t xml:space="preserve"> აქტივისტის კრიტიკის ობიექტია. გამოწვევა</w:t>
      </w:r>
      <w:r w:rsidR="0074362F">
        <w:rPr>
          <w:rFonts w:ascii="Sylfaen" w:hAnsi="Sylfaen"/>
          <w:bCs/>
          <w:sz w:val="22"/>
          <w:szCs w:val="22"/>
          <w:lang w:val="ka-GE"/>
        </w:rPr>
        <w:t xml:space="preserve">ს წარმოადგენს </w:t>
      </w:r>
      <w:r>
        <w:rPr>
          <w:rFonts w:ascii="Sylfaen" w:hAnsi="Sylfaen"/>
          <w:bCs/>
          <w:sz w:val="22"/>
          <w:szCs w:val="22"/>
          <w:lang w:val="ka-GE"/>
        </w:rPr>
        <w:t>ნარკოტიკულ დანაშაულებზე არსებული მა</w:t>
      </w:r>
      <w:r w:rsidR="0074362F">
        <w:rPr>
          <w:rFonts w:ascii="Sylfaen" w:hAnsi="Sylfaen"/>
          <w:bCs/>
          <w:sz w:val="22"/>
          <w:szCs w:val="22"/>
          <w:lang w:val="ka-GE"/>
        </w:rPr>
        <w:t>ღალი სასჯელები</w:t>
      </w:r>
      <w:r w:rsidR="005507EC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74362F">
        <w:rPr>
          <w:rFonts w:ascii="Sylfaen" w:hAnsi="Sylfaen"/>
          <w:bCs/>
          <w:sz w:val="22"/>
          <w:szCs w:val="22"/>
          <w:lang w:val="ka-GE"/>
        </w:rPr>
        <w:t xml:space="preserve">და ნარკოტიკული საშაულებებისგან გამოწვეული პირველადი თუ მეორეული ზიანის შემცირების მიმართულებით სახელმწიფოს არაჯეროვანი ძალისხმევა. </w:t>
      </w:r>
      <w:r w:rsidR="005507EC">
        <w:rPr>
          <w:rFonts w:ascii="Sylfaen" w:hAnsi="Sylfaen"/>
          <w:bCs/>
          <w:sz w:val="22"/>
          <w:szCs w:val="22"/>
          <w:lang w:val="ka-GE"/>
        </w:rPr>
        <w:t xml:space="preserve">პრობლემურია საქართველოს პარლამენტის მიერ გამოჩენილი </w:t>
      </w:r>
      <w:r w:rsidR="005507EC">
        <w:rPr>
          <w:rFonts w:ascii="Sylfaen" w:hAnsi="Sylfaen"/>
          <w:bCs/>
          <w:sz w:val="22"/>
          <w:szCs w:val="22"/>
          <w:lang w:val="ka-GE"/>
        </w:rPr>
        <w:lastRenderedPageBreak/>
        <w:t xml:space="preserve">ინდიფერენტულობა ნარკოვითარების კუთხით არსებული პრობლემების დანახვისა და კანონმდებლობის ჰუმანური ტრანსფორმაციისთვის საჭირო ნაბიჯების გადადგმის მიმართულებით. </w:t>
      </w:r>
    </w:p>
    <w:p w14:paraId="24F7991C" w14:textId="15CF9112" w:rsidR="00CE2B1F" w:rsidRDefault="00CE2B1F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თუმცა</w:t>
      </w:r>
      <w:r w:rsidR="005C6EC0">
        <w:rPr>
          <w:rFonts w:ascii="Sylfaen" w:hAnsi="Sylfaen"/>
          <w:bCs/>
          <w:sz w:val="22"/>
          <w:szCs w:val="22"/>
          <w:lang w:val="ka-GE"/>
        </w:rPr>
        <w:t>,</w:t>
      </w:r>
      <w:r>
        <w:rPr>
          <w:rFonts w:ascii="Sylfaen" w:hAnsi="Sylfaen"/>
          <w:bCs/>
          <w:sz w:val="22"/>
          <w:szCs w:val="22"/>
          <w:lang w:val="ka-GE"/>
        </w:rPr>
        <w:t xml:space="preserve"> არანაკლებ პრობლემური შესაძლოა იყოს მოსახლეობის დამოკიდებულებები</w:t>
      </w:r>
      <w:r w:rsidR="005C6EC0">
        <w:rPr>
          <w:rFonts w:ascii="Sylfaen" w:hAnsi="Sylfaen"/>
          <w:bCs/>
          <w:sz w:val="22"/>
          <w:szCs w:val="22"/>
          <w:lang w:val="ka-GE"/>
        </w:rPr>
        <w:t xml:space="preserve"> ნარკოტიკული საშუალებებების მომხმარებელთა მიმართ. წამალდამოკიდებულთა ან ნარკოტიკული საშუალებების მომხმარებელთა მიმართ სტიგმა ხილვადია საზოგადოების სხვადასხვა შრეში. ნარკოპოლიტიკ</w:t>
      </w:r>
      <w:r w:rsidR="00151841">
        <w:rPr>
          <w:rFonts w:ascii="Sylfaen" w:hAnsi="Sylfaen"/>
          <w:bCs/>
          <w:sz w:val="22"/>
          <w:szCs w:val="22"/>
          <w:lang w:val="ka-GE"/>
        </w:rPr>
        <w:t>ა</w:t>
      </w:r>
      <w:r w:rsidR="005C6EC0">
        <w:rPr>
          <w:rFonts w:ascii="Sylfaen" w:hAnsi="Sylfaen"/>
          <w:bCs/>
          <w:sz w:val="22"/>
          <w:szCs w:val="22"/>
          <w:lang w:val="ka-GE"/>
        </w:rPr>
        <w:t xml:space="preserve"> ხშირად </w:t>
      </w:r>
      <w:r w:rsidR="00151841">
        <w:rPr>
          <w:rFonts w:ascii="Sylfaen" w:hAnsi="Sylfaen"/>
          <w:bCs/>
          <w:sz w:val="22"/>
          <w:szCs w:val="22"/>
          <w:lang w:val="ka-GE"/>
        </w:rPr>
        <w:t xml:space="preserve">ხდება მედიის მიერ სენსაციური გაშუქების თემა, ამასთან, საკითხის მიმართ არსებული პოლიტიკური პოპულიზმის რიტორიკა, ხშირად შესამჩნევ გავლენას ახდენს ფართო საზოგადოებაში ნარკოტიკული საშუალებების მომხმარებელთა მიმართ არსებულ დამოკიდებულებებზე. </w:t>
      </w:r>
      <w:r w:rsidR="00CD0A45">
        <w:rPr>
          <w:rFonts w:ascii="Sylfaen" w:hAnsi="Sylfaen"/>
          <w:bCs/>
          <w:sz w:val="22"/>
          <w:szCs w:val="22"/>
          <w:lang w:val="ka-GE"/>
        </w:rPr>
        <w:t>გარდა ამისა,</w:t>
      </w:r>
      <w:r w:rsidR="00151841">
        <w:rPr>
          <w:rFonts w:ascii="Sylfaen" w:hAnsi="Sylfaen"/>
          <w:bCs/>
          <w:sz w:val="22"/>
          <w:szCs w:val="22"/>
          <w:lang w:val="ka-GE"/>
        </w:rPr>
        <w:t xml:space="preserve"> ნარკოპოლიტიკის ჰუმანური ტრანსფორმაცია ხშირად არასათანადოდაა </w:t>
      </w:r>
      <w:r w:rsidR="00B920CF">
        <w:rPr>
          <w:rFonts w:ascii="Sylfaen" w:hAnsi="Sylfaen"/>
          <w:bCs/>
          <w:sz w:val="22"/>
          <w:szCs w:val="22"/>
          <w:lang w:val="ka-GE"/>
        </w:rPr>
        <w:t>აღქმული</w:t>
      </w:r>
      <w:r w:rsidR="00151841">
        <w:rPr>
          <w:rFonts w:ascii="Sylfaen" w:hAnsi="Sylfaen"/>
          <w:bCs/>
          <w:sz w:val="22"/>
          <w:szCs w:val="22"/>
          <w:lang w:val="ka-GE"/>
        </w:rPr>
        <w:t xml:space="preserve"> ქართული საზოგადოების ნაწილის მიერ და სიტყვების, „ნარკოპოლიტიკის ლიბერალიზაციის“ მიღმა, </w:t>
      </w:r>
      <w:r w:rsidR="00CD0A45">
        <w:rPr>
          <w:rFonts w:ascii="Sylfaen" w:hAnsi="Sylfaen"/>
          <w:bCs/>
          <w:sz w:val="22"/>
          <w:szCs w:val="22"/>
          <w:lang w:val="ka-GE"/>
        </w:rPr>
        <w:t>ზოგჯერ</w:t>
      </w:r>
      <w:r w:rsidR="00151841">
        <w:rPr>
          <w:rFonts w:ascii="Sylfaen" w:hAnsi="Sylfaen"/>
          <w:bCs/>
          <w:sz w:val="22"/>
          <w:szCs w:val="22"/>
          <w:lang w:val="ka-GE"/>
        </w:rPr>
        <w:t xml:space="preserve"> არა ადამიან</w:t>
      </w:r>
      <w:r w:rsidR="00CD0A45">
        <w:rPr>
          <w:rFonts w:ascii="Sylfaen" w:hAnsi="Sylfaen"/>
          <w:bCs/>
          <w:sz w:val="22"/>
          <w:szCs w:val="22"/>
          <w:lang w:val="ka-GE"/>
        </w:rPr>
        <w:t>სა</w:t>
      </w:r>
      <w:r w:rsidR="00151841">
        <w:rPr>
          <w:rFonts w:ascii="Sylfaen" w:hAnsi="Sylfaen"/>
          <w:bCs/>
          <w:sz w:val="22"/>
          <w:szCs w:val="22"/>
          <w:lang w:val="ka-GE"/>
        </w:rPr>
        <w:t xml:space="preserve"> და საზოგადოებრივ ჯანდაცვაზე ორიენტირებული </w:t>
      </w:r>
      <w:r w:rsidR="0041324F">
        <w:rPr>
          <w:rFonts w:ascii="Sylfaen" w:hAnsi="Sylfaen"/>
          <w:bCs/>
          <w:sz w:val="22"/>
          <w:szCs w:val="22"/>
          <w:lang w:val="ka-GE"/>
        </w:rPr>
        <w:t>პოლიტიკის გატარებ</w:t>
      </w:r>
      <w:r w:rsidR="00B920CF">
        <w:rPr>
          <w:rFonts w:ascii="Sylfaen" w:hAnsi="Sylfaen"/>
          <w:bCs/>
          <w:sz w:val="22"/>
          <w:szCs w:val="22"/>
          <w:lang w:val="ka-GE"/>
        </w:rPr>
        <w:t>ის იდეას</w:t>
      </w:r>
      <w:r w:rsidR="0041324F">
        <w:rPr>
          <w:rFonts w:ascii="Sylfaen" w:hAnsi="Sylfaen"/>
          <w:bCs/>
          <w:sz w:val="22"/>
          <w:szCs w:val="22"/>
          <w:lang w:val="ka-GE"/>
        </w:rPr>
        <w:t>, არამედ</w:t>
      </w:r>
      <w:r w:rsidR="00B920CF">
        <w:rPr>
          <w:rFonts w:ascii="Sylfaen" w:hAnsi="Sylfaen"/>
          <w:bCs/>
          <w:sz w:val="22"/>
          <w:szCs w:val="22"/>
          <w:lang w:val="ka-GE"/>
        </w:rPr>
        <w:t>,</w:t>
      </w:r>
      <w:r w:rsidR="0041324F">
        <w:rPr>
          <w:rFonts w:ascii="Sylfaen" w:hAnsi="Sylfaen"/>
          <w:bCs/>
          <w:sz w:val="22"/>
          <w:szCs w:val="22"/>
          <w:lang w:val="ka-GE"/>
        </w:rPr>
        <w:t xml:space="preserve"> ახალგაზრ</w:t>
      </w:r>
      <w:r w:rsidR="005C20C4">
        <w:rPr>
          <w:rFonts w:ascii="Sylfaen" w:hAnsi="Sylfaen"/>
          <w:bCs/>
          <w:sz w:val="22"/>
          <w:szCs w:val="22"/>
          <w:lang w:val="ka-GE"/>
        </w:rPr>
        <w:t>დ</w:t>
      </w:r>
      <w:r w:rsidR="0041324F">
        <w:rPr>
          <w:rFonts w:ascii="Sylfaen" w:hAnsi="Sylfaen"/>
          <w:bCs/>
          <w:sz w:val="22"/>
          <w:szCs w:val="22"/>
          <w:lang w:val="ka-GE"/>
        </w:rPr>
        <w:t xml:space="preserve">ებისა და მოზრდილი მოსახლეობის მიერ ნარკოტიკული საშუალებების უკონტროლო მოხმარების საფრთხეს ხედავენ. </w:t>
      </w:r>
    </w:p>
    <w:p w14:paraId="45414FC8" w14:textId="456AF7ED" w:rsidR="00F87BB2" w:rsidRDefault="00B920CF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სოციალური სამართლიანობის ცენტრი პარტნიორ ორგანიზაციებთან ერთად მიზნად ისახავს ნარკოპოლიტიკის საკითხებზე კომუნიკაციის სტრატეგიისა და სამოქმედო გეგმის დოკუმენტების შემუშავებას. აღნიშნული დოკუმენტების შემუშავებისთვის კი მნიშვნელოვანია, რომ მოვიპოვოთ ჯეროვანი ინფორმაცია ფართო საზოგადოებაში </w:t>
      </w:r>
      <w:r w:rsidR="005E4A4E">
        <w:rPr>
          <w:rFonts w:ascii="Sylfaen" w:hAnsi="Sylfaen"/>
          <w:bCs/>
          <w:sz w:val="22"/>
          <w:szCs w:val="22"/>
          <w:lang w:val="ka-GE"/>
        </w:rPr>
        <w:t>ნარკოტიკ</w:t>
      </w:r>
      <w:r w:rsidR="003C6408">
        <w:rPr>
          <w:rFonts w:ascii="Sylfaen" w:hAnsi="Sylfaen"/>
          <w:bCs/>
          <w:sz w:val="22"/>
          <w:szCs w:val="22"/>
          <w:lang w:val="ka-GE"/>
        </w:rPr>
        <w:t xml:space="preserve">ულ საშუალებებზე </w:t>
      </w:r>
      <w:r w:rsidR="000F1314">
        <w:rPr>
          <w:rFonts w:ascii="Sylfaen" w:hAnsi="Sylfaen"/>
          <w:bCs/>
          <w:sz w:val="22"/>
          <w:szCs w:val="22"/>
          <w:lang w:val="ka-GE"/>
        </w:rPr>
        <w:t>წარმოდგენების, მიდგომების</w:t>
      </w:r>
      <w:r w:rsidR="007D6B5B">
        <w:rPr>
          <w:rFonts w:ascii="Sylfaen" w:hAnsi="Sylfaen"/>
          <w:bCs/>
          <w:sz w:val="22"/>
          <w:szCs w:val="22"/>
          <w:lang w:val="ka-GE"/>
        </w:rPr>
        <w:t xml:space="preserve">, შიშებისა და მოსაზრებების შესახებ. </w:t>
      </w:r>
    </w:p>
    <w:p w14:paraId="5BCD9DD1" w14:textId="146004C1" w:rsidR="00F87BB2" w:rsidRPr="00F87BB2" w:rsidRDefault="00F87BB2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F87BB2">
        <w:rPr>
          <w:rFonts w:ascii="Sylfaen" w:hAnsi="Sylfaen"/>
          <w:b/>
          <w:bCs/>
          <w:sz w:val="22"/>
          <w:szCs w:val="22"/>
          <w:u w:val="single"/>
          <w:lang w:val="ka-GE"/>
        </w:rPr>
        <w:t>ტენდერის მიზანი:</w:t>
      </w:r>
    </w:p>
    <w:p w14:paraId="3A51124C" w14:textId="348549A6" w:rsidR="00B920CF" w:rsidRDefault="00F87BB2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ტენდერის</w:t>
      </w:r>
      <w:r w:rsidR="00D07A14">
        <w:rPr>
          <w:rFonts w:ascii="Sylfaen" w:hAnsi="Sylfaen"/>
          <w:bCs/>
          <w:sz w:val="22"/>
          <w:szCs w:val="22"/>
          <w:lang w:val="ka-GE"/>
        </w:rPr>
        <w:t xml:space="preserve"> მიზანია ნარკოპოლიტიკისა და ნარკოვითარების საკითხებზე საზოგადოებრივი განწყობების კვ</w:t>
      </w:r>
      <w:r>
        <w:rPr>
          <w:rFonts w:ascii="Sylfaen" w:hAnsi="Sylfaen"/>
          <w:bCs/>
          <w:sz w:val="22"/>
          <w:szCs w:val="22"/>
          <w:lang w:val="ka-GE"/>
        </w:rPr>
        <w:t>ლევა, რაოდენობრივი კვლევის</w:t>
      </w:r>
      <w:r w:rsidR="00B67993">
        <w:rPr>
          <w:rFonts w:ascii="Sylfaen" w:hAnsi="Sylfaen"/>
          <w:bCs/>
          <w:sz w:val="22"/>
          <w:szCs w:val="22"/>
          <w:lang w:val="ka-GE"/>
        </w:rPr>
        <w:t xml:space="preserve"> (</w:t>
      </w:r>
      <w:r w:rsidR="004502E4">
        <w:rPr>
          <w:rFonts w:ascii="Sylfaen" w:hAnsi="Sylfaen"/>
          <w:bCs/>
          <w:sz w:val="22"/>
          <w:szCs w:val="22"/>
          <w:lang w:val="ka-GE"/>
        </w:rPr>
        <w:t xml:space="preserve">სავარაუდოდ </w:t>
      </w:r>
      <w:r w:rsidR="0047772B">
        <w:rPr>
          <w:rFonts w:ascii="Sylfaen" w:hAnsi="Sylfaen"/>
          <w:bCs/>
          <w:sz w:val="22"/>
          <w:szCs w:val="22"/>
          <w:lang w:val="ka-GE"/>
        </w:rPr>
        <w:t>სატელეფონი ინტერვიუ კომპიუტერული სისტემის დახმარებით</w:t>
      </w:r>
      <w:r w:rsidR="004502E4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47772B">
        <w:rPr>
          <w:rFonts w:ascii="Sylfaen" w:hAnsi="Sylfaen"/>
          <w:bCs/>
          <w:sz w:val="22"/>
          <w:szCs w:val="22"/>
          <w:lang w:val="ka-GE"/>
        </w:rPr>
        <w:t>(</w:t>
      </w:r>
      <w:r w:rsidR="0047772B">
        <w:rPr>
          <w:rFonts w:ascii="Sylfaen" w:hAnsi="Sylfaen"/>
          <w:bCs/>
          <w:sz w:val="22"/>
          <w:szCs w:val="22"/>
          <w:lang w:val="de-DE"/>
        </w:rPr>
        <w:t>CATI</w:t>
      </w:r>
      <w:r w:rsidR="00B67993">
        <w:rPr>
          <w:rFonts w:ascii="Sylfaen" w:hAnsi="Sylfaen"/>
          <w:bCs/>
          <w:sz w:val="22"/>
          <w:szCs w:val="22"/>
          <w:lang w:val="ka-GE"/>
        </w:rPr>
        <w:t>)</w:t>
      </w:r>
      <w:r w:rsidR="00D36572">
        <w:rPr>
          <w:rFonts w:ascii="Sylfaen" w:hAnsi="Sylfaen"/>
          <w:bCs/>
          <w:sz w:val="22"/>
          <w:szCs w:val="22"/>
          <w:lang w:val="ka-GE"/>
        </w:rPr>
        <w:t>)</w:t>
      </w:r>
      <w:r>
        <w:rPr>
          <w:rFonts w:ascii="Sylfaen" w:hAnsi="Sylfaen"/>
          <w:bCs/>
          <w:sz w:val="22"/>
          <w:szCs w:val="22"/>
          <w:lang w:val="ka-GE"/>
        </w:rPr>
        <w:t xml:space="preserve"> მეთოდების გამოყენებით. </w:t>
      </w:r>
    </w:p>
    <w:p w14:paraId="545F7526" w14:textId="0DBB07D2" w:rsidR="00E66EAB" w:rsidRDefault="00E66EAB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E66EAB">
        <w:rPr>
          <w:rFonts w:ascii="Sylfaen" w:hAnsi="Sylfaen"/>
          <w:b/>
          <w:bCs/>
          <w:sz w:val="22"/>
          <w:szCs w:val="22"/>
          <w:u w:val="single"/>
          <w:lang w:val="ka-GE"/>
        </w:rPr>
        <w:t>მოსალოდნელი შედეგი:</w:t>
      </w:r>
    </w:p>
    <w:p w14:paraId="1D7E902C" w14:textId="77777777" w:rsidR="007C386C" w:rsidRDefault="00433BE1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ჩატარებული საზოგადოებრივი განწყობების კვლევის საველე სამუშაოების საფუძველზე მომზადებული, მეთოდოლოგიურად მყარი და სანდო კვლევის ანგარიში. </w:t>
      </w:r>
    </w:p>
    <w:p w14:paraId="5E1A25EB" w14:textId="2C2D9757" w:rsidR="007C386C" w:rsidRPr="007C386C" w:rsidRDefault="007C386C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7C386C">
        <w:rPr>
          <w:rFonts w:ascii="Sylfaen" w:hAnsi="Sylfaen"/>
          <w:b/>
          <w:bCs/>
          <w:sz w:val="22"/>
          <w:szCs w:val="22"/>
          <w:u w:val="single"/>
          <w:lang w:val="ka-GE"/>
        </w:rPr>
        <w:t>კვლევის ჩატარებისა და ანგარიშის წარმოდგენის ვადები:</w:t>
      </w:r>
    </w:p>
    <w:p w14:paraId="4D6C9113" w14:textId="2CBF1168" w:rsidR="00E66EAB" w:rsidRDefault="00334EAD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საზოგადოებრივი აზრის კვლევა და ანგარიშის შემუშავება უნდა განხორციელდეს 01.06.2022 წლიდან 3</w:t>
      </w:r>
      <w:r w:rsidR="000E66C8">
        <w:rPr>
          <w:rFonts w:ascii="Sylfaen" w:hAnsi="Sylfaen"/>
          <w:bCs/>
          <w:sz w:val="22"/>
          <w:szCs w:val="22"/>
          <w:lang w:val="ka-GE"/>
        </w:rPr>
        <w:t>0</w:t>
      </w:r>
      <w:r>
        <w:rPr>
          <w:rFonts w:ascii="Sylfaen" w:hAnsi="Sylfaen"/>
          <w:bCs/>
          <w:sz w:val="22"/>
          <w:szCs w:val="22"/>
          <w:lang w:val="ka-GE"/>
        </w:rPr>
        <w:t>.</w:t>
      </w:r>
      <w:r w:rsidR="000E66C8">
        <w:rPr>
          <w:rFonts w:ascii="Sylfaen" w:hAnsi="Sylfaen"/>
          <w:bCs/>
          <w:sz w:val="22"/>
          <w:szCs w:val="22"/>
          <w:lang w:val="ka-GE"/>
        </w:rPr>
        <w:t>11</w:t>
      </w:r>
      <w:r>
        <w:rPr>
          <w:rFonts w:ascii="Sylfaen" w:hAnsi="Sylfaen"/>
          <w:bCs/>
          <w:sz w:val="22"/>
          <w:szCs w:val="22"/>
          <w:lang w:val="ka-GE"/>
        </w:rPr>
        <w:t xml:space="preserve">.2022 წლამდე. </w:t>
      </w:r>
    </w:p>
    <w:p w14:paraId="14491D90" w14:textId="166A05DA" w:rsidR="001E253E" w:rsidRDefault="00C01B5A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C01B5A">
        <w:rPr>
          <w:rFonts w:ascii="Sylfaen" w:hAnsi="Sylfaen"/>
          <w:b/>
          <w:bCs/>
          <w:sz w:val="22"/>
          <w:szCs w:val="22"/>
          <w:u w:val="single"/>
          <w:lang w:val="ka-GE"/>
        </w:rPr>
        <w:t>კვლევის ბიუჯეტი:</w:t>
      </w:r>
    </w:p>
    <w:p w14:paraId="3A758144" w14:textId="6D46EF13" w:rsidR="002327E5" w:rsidRDefault="00C01B5A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კვლევის ბიუჯეტი წარმოადგენს 9,000 ევროს ექვივალენტს ლარში.</w:t>
      </w:r>
    </w:p>
    <w:p w14:paraId="43B50E95" w14:textId="13FD3DD4" w:rsidR="002327E5" w:rsidRDefault="002327E5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75399D5E" w14:textId="77777777" w:rsidR="002327E5" w:rsidRPr="00C01B5A" w:rsidRDefault="002327E5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04A71056" w14:textId="5FEAA667" w:rsidR="00500166" w:rsidRPr="002D20FB" w:rsidRDefault="003E71A7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2D20FB">
        <w:rPr>
          <w:rFonts w:ascii="Sylfaen" w:hAnsi="Sylfaen"/>
          <w:b/>
          <w:bCs/>
          <w:sz w:val="22"/>
          <w:szCs w:val="22"/>
          <w:u w:val="single"/>
          <w:lang w:val="ka-GE"/>
        </w:rPr>
        <w:t xml:space="preserve">კონტრაქტორი ორგანიზაციის </w:t>
      </w:r>
      <w:r w:rsidR="002D20FB" w:rsidRPr="002D20FB">
        <w:rPr>
          <w:rFonts w:ascii="Sylfaen" w:hAnsi="Sylfaen"/>
          <w:b/>
          <w:bCs/>
          <w:sz w:val="22"/>
          <w:szCs w:val="22"/>
          <w:u w:val="single"/>
          <w:lang w:val="ka-GE"/>
        </w:rPr>
        <w:t>ვალდებულებები და დავალების შესრულების ვადები:</w:t>
      </w:r>
    </w:p>
    <w:tbl>
      <w:tblPr>
        <w:tblW w:w="954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90"/>
        <w:gridCol w:w="5350"/>
        <w:gridCol w:w="1400"/>
      </w:tblGrid>
      <w:tr w:rsidR="002B6159" w:rsidRPr="00587C84" w14:paraId="2328B3E5" w14:textId="77777777" w:rsidTr="000F419D">
        <w:trPr>
          <w:trHeight w:val="513"/>
        </w:trPr>
        <w:tc>
          <w:tcPr>
            <w:tcW w:w="27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4A260603" w14:textId="77777777" w:rsidR="002D20FB" w:rsidRPr="00587C84" w:rsidRDefault="002D20FB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587C8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ვალდებულებათა აღწერა</w:t>
            </w:r>
          </w:p>
        </w:tc>
        <w:tc>
          <w:tcPr>
            <w:tcW w:w="5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2FC18F63" w14:textId="3C76C6AE" w:rsidR="002D20FB" w:rsidRPr="00587C84" w:rsidRDefault="00BD394E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კვლევის ეტაპები</w:t>
            </w:r>
            <w:r w:rsidR="00CB0E3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2FA68AD4" w14:textId="30CDCE7A" w:rsidR="002D20FB" w:rsidRPr="00587C84" w:rsidRDefault="000F419D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B9511A" w:rsidRPr="008C1F49" w14:paraId="38C45E80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0C6ABE" w14:textId="16EDF2E7" w:rsidR="00B548BD" w:rsidRPr="00191C1F" w:rsidRDefault="001E253E" w:rsidP="00191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8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91C1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კ</w:t>
            </w:r>
            <w:r w:rsidR="00B548BD" w:rsidRPr="00191C1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ვლევის</w:t>
            </w:r>
            <w:r w:rsidR="00191C1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="00B548BD" w:rsidRPr="00191C1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მოსამზადებელი სამუშაოები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FC196E" w14:textId="6A26DA81" w:rsidR="00B548BD" w:rsidRPr="00191C1F" w:rsidRDefault="00B548BD" w:rsidP="00191C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 w:rsidRPr="00191C1F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სამუშაო შეხვედრები კონტრაქტორ კვლევის შემსრულებელ ორგანიზაციასა და სოციალური სამართლიანობის ცენტრს შორის. </w:t>
            </w:r>
          </w:p>
          <w:p w14:paraId="031D9109" w14:textId="237BD529" w:rsidR="00A53641" w:rsidRDefault="00B548BD" w:rsidP="00B548BD">
            <w:pPr>
              <w:numPr>
                <w:ilvl w:val="0"/>
                <w:numId w:val="2"/>
              </w:numPr>
              <w:spacing w:after="0" w:line="240" w:lineRule="auto"/>
              <w:ind w:left="246" w:hanging="180"/>
              <w:contextualSpacing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კვლევით</w:t>
            </w:r>
            <w:r w:rsidR="00A53641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ორგანიზაცი</w:t>
            </w:r>
            <w:r w:rsidR="00A53641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კვლევის ჩატარების მეთოდოლოგი</w:t>
            </w:r>
            <w:r w:rsidR="00A53641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შემუშავება და სოციალური სამართლიანობის ცენტრისთვის გაზიარება.</w:t>
            </w:r>
          </w:p>
          <w:p w14:paraId="3F6831B4" w14:textId="60AD4728" w:rsidR="00B548BD" w:rsidRDefault="00A53641" w:rsidP="00B548BD">
            <w:pPr>
              <w:numPr>
                <w:ilvl w:val="0"/>
                <w:numId w:val="2"/>
              </w:numPr>
              <w:spacing w:after="0" w:line="240" w:lineRule="auto"/>
              <w:ind w:left="246" w:hanging="180"/>
              <w:contextualSpacing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კვლევითი ორგანიზაციის მიერ </w:t>
            </w:r>
            <w:r w:rsidR="00B548BD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შესაბამისი კითხვარი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</w:t>
            </w:r>
            <w:r w:rsidR="00B548BD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CA2FB0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შემუშავება და წარმოდგენა.</w:t>
            </w:r>
            <w:r w:rsidR="00B548BD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</w:p>
          <w:p w14:paraId="77184C76" w14:textId="6284A5DA" w:rsidR="00B548BD" w:rsidRPr="00D7455C" w:rsidRDefault="00CA2FB0" w:rsidP="00D7455C">
            <w:pPr>
              <w:numPr>
                <w:ilvl w:val="0"/>
                <w:numId w:val="2"/>
              </w:numPr>
              <w:spacing w:after="0" w:line="240" w:lineRule="auto"/>
              <w:ind w:left="246" w:hanging="180"/>
              <w:contextualSpacing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სოციალური სამართლიანობის ცენტრის მიერ მეთოდოლოგიისა და კითხვარის გაცნობა და უკუ</w:t>
            </w:r>
            <w:r w:rsidR="009F6570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კავშირი.</w:t>
            </w:r>
            <w:r w:rsidR="00D7455C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B548BD" w:rsidRPr="00D7455C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რეკომენდაცია კვლევის საველე სამუშაოების დაწყების შესახებ.</w:t>
            </w:r>
          </w:p>
          <w:p w14:paraId="5267AF19" w14:textId="22BE3C34" w:rsidR="00B548BD" w:rsidRPr="00B548BD" w:rsidRDefault="00B548BD" w:rsidP="00B548B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B53522" w14:textId="7CB05F51" w:rsidR="00B548BD" w:rsidRDefault="00B548BD" w:rsidP="00B548BD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01.0</w:t>
            </w:r>
            <w:r w:rsidR="00BC43D5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6</w:t>
            </w: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.2022-</w:t>
            </w:r>
            <w:r w:rsidR="00280B03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31.07.2022</w:t>
            </w:r>
          </w:p>
        </w:tc>
      </w:tr>
      <w:tr w:rsidR="00AA316B" w:rsidRPr="008C1F49" w14:paraId="0928FE2C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09536994" w14:textId="0CA41BC3" w:rsidR="00362E18" w:rsidRPr="00191C1F" w:rsidRDefault="00362E18" w:rsidP="00362E18">
            <w:pPr>
              <w:pStyle w:val="ListParagraph"/>
              <w:spacing w:after="0" w:line="240" w:lineRule="auto"/>
              <w:ind w:left="162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შუალედური შედეგი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3FA26614" w14:textId="09F22D68" w:rsidR="00362E18" w:rsidRPr="00280B03" w:rsidRDefault="00B81B65" w:rsidP="00362E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6" w:hanging="27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 w:rsidRPr="00280B03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შემუშავებულია კვლევის მეთოდოლოგია და კითხვარი</w:t>
            </w:r>
            <w:r w:rsidR="00280B03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.</w:t>
            </w:r>
          </w:p>
          <w:p w14:paraId="60061227" w14:textId="7BAD3A4C" w:rsidR="00362E18" w:rsidRPr="00362E18" w:rsidRDefault="00362E18" w:rsidP="00362E1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63F355A1" w14:textId="4865FFEE" w:rsidR="00362E18" w:rsidRDefault="00280B03" w:rsidP="00B548BD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3</w:t>
            </w:r>
            <w:r w:rsidR="00C73321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</w:t>
            </w:r>
            <w:r w:rsidR="00B81B65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.0</w:t>
            </w:r>
            <w:r w:rsidR="00C73321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7</w:t>
            </w:r>
            <w:r w:rsidR="00B81B65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.2020</w:t>
            </w:r>
          </w:p>
        </w:tc>
      </w:tr>
      <w:tr w:rsidR="00B9511A" w:rsidRPr="008C1F49" w14:paraId="0EC1FC49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32AF75" w14:textId="77777777" w:rsidR="002D20FB" w:rsidRDefault="00067A3A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2. კვლევის საველე სამუშაოები.</w:t>
            </w:r>
          </w:p>
          <w:p w14:paraId="29211FF7" w14:textId="16592D7C" w:rsidR="00C73321" w:rsidRPr="00697A8D" w:rsidRDefault="00C73321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3CB985" w14:textId="748F2157" w:rsidR="00447359" w:rsidRDefault="00D73DF9" w:rsidP="00E87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კონტრაქტორ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</w:t>
            </w: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კვლევით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</w:t>
            </w: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ორგანიზაცი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</w:t>
            </w: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პირველი </w:t>
            </w:r>
            <w:r w:rsidR="000F38C3"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50</w:t>
            </w: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სატელეფონო საუბ</w:t>
            </w:r>
            <w:bookmarkStart w:id="0" w:name="_GoBack"/>
            <w:bookmarkEnd w:id="0"/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რი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ჩატარება.</w:t>
            </w:r>
            <w:r w:rsidR="003A385E"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მიღებული გამოცდილებით, კითხვარის/კვლევის მეთოდოლოგიის ძლიერი და სუსტი მხარეებ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ის </w:t>
            </w:r>
            <w:r w:rsidR="00447359"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იდენტიფიცირებ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ა.</w:t>
            </w:r>
          </w:p>
          <w:p w14:paraId="48491D4A" w14:textId="5C7A2F8A" w:rsidR="00E24072" w:rsidRPr="00E8778E" w:rsidRDefault="003A385E" w:rsidP="00E87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გამოკვეთილი საჭიროებების შესაბამისად, 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კითხვარში ცვლილებების შეტანა</w:t>
            </w:r>
            <w:r w:rsidR="00A376B4" w:rsidRPr="00E8778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447359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სოციალური სამართლიანობის ცენტრთან შეთანხმებით.</w:t>
            </w:r>
          </w:p>
          <w:p w14:paraId="541FDC34" w14:textId="55AB3948" w:rsidR="00B93E1B" w:rsidRDefault="00B93E1B" w:rsidP="00E87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შეთანხმებული და შეჯერებული კითხვარით, კვლევის ძირითადი ნაწილის </w:t>
            </w:r>
            <w:r w:rsidR="00A60B3B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(ინტერვიუების) ჩატარება.</w:t>
            </w:r>
          </w:p>
          <w:p w14:paraId="3684E630" w14:textId="172689CE" w:rsidR="00ED2B81" w:rsidRPr="00E8778E" w:rsidRDefault="00386B99" w:rsidP="00E87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კვლევის საველე სამუშაოების ჩატარების შესახებ</w:t>
            </w:r>
            <w:r w:rsidR="00B93E1B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პირველადი ნარატიული ანგარიშის წარმოდგენა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(არაუმეტეს </w:t>
            </w:r>
            <w:r w:rsidR="00C835DB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3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გვერდისა)</w:t>
            </w:r>
            <w:r w:rsidR="00B93E1B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.</w:t>
            </w:r>
          </w:p>
          <w:p w14:paraId="76D41EC5" w14:textId="37F58962" w:rsidR="00E24072" w:rsidRDefault="00E24072" w:rsidP="00E2407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3D1EE2" w14:textId="3F9E588B" w:rsidR="00DC0137" w:rsidRDefault="00C73321" w:rsidP="0066014B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0</w:t>
            </w:r>
            <w:r w:rsidR="00A527D4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</w:t>
            </w:r>
            <w:r w:rsidR="00A376B4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.0</w:t>
            </w:r>
            <w:r w:rsidR="000D3622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8</w:t>
            </w:r>
            <w:r w:rsidR="00A376B4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.2022</w:t>
            </w:r>
            <w:r w:rsidR="0066014B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-</w:t>
            </w:r>
            <w:r w:rsidR="00476C2C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10</w:t>
            </w:r>
            <w:r w:rsidR="0066014B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.09.2022</w:t>
            </w:r>
          </w:p>
          <w:p w14:paraId="0626D11D" w14:textId="77777777" w:rsidR="003C0BF8" w:rsidRDefault="003C0BF8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  <w:p w14:paraId="642C957E" w14:textId="77777777" w:rsidR="003C0BF8" w:rsidRDefault="003C0BF8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  <w:p w14:paraId="69FBC759" w14:textId="77777777" w:rsidR="003C0BF8" w:rsidRDefault="003C0BF8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  <w:p w14:paraId="42AD55D1" w14:textId="1D6FEDA0" w:rsidR="003C0BF8" w:rsidRPr="008C1F49" w:rsidRDefault="003C0BF8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0D7FE0" w:rsidRPr="008C1F49" w14:paraId="70B37657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1D12AF21" w14:textId="3F304C17" w:rsidR="000D7FE0" w:rsidRDefault="000D7FE0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შუალედური შედეგი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70D5499F" w14:textId="24C17279" w:rsidR="000D7FE0" w:rsidRPr="00E8778E" w:rsidRDefault="000D7FE0" w:rsidP="00E87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შესრულებულია კვლევის საველე სამუშაოები და წარმოდგენილია პირველადი ნარატიული ანგარიში</w:t>
            </w:r>
            <w:r w:rsidR="00A60B3B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41764149" w14:textId="755E867A" w:rsidR="000D7FE0" w:rsidRDefault="00476C2C" w:rsidP="0066014B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</w:t>
            </w:r>
            <w:r w:rsidR="000D7FE0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0.09.2022</w:t>
            </w:r>
          </w:p>
        </w:tc>
      </w:tr>
      <w:tr w:rsidR="00B9511A" w:rsidRPr="008C1F49" w14:paraId="5F92E63D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323707" w14:textId="761E4225" w:rsidR="00ED2B81" w:rsidRDefault="00353429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3. კვლევის შედეგების ანალიზი.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DCDE6C" w14:textId="23021A36" w:rsidR="00E66199" w:rsidRDefault="00E66199" w:rsidP="00E661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კონტრაქტორი ორგანიზაციისა და სოციალური სამართლიანობის ცენტრის წარმომადგენლების სამუშაო შეხვედრები. მონაცემთა ანალიზის სტრატეგი</w:t>
            </w:r>
            <w:r w:rsidR="002F5F2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ები</w:t>
            </w:r>
            <w:r w:rsidR="000241FA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ს შეჯერება და 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პრიორიტეტული მიმართულებები</w:t>
            </w:r>
            <w:r w:rsidR="000241FA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გამოკვეთა</w:t>
            </w:r>
            <w:r w:rsidR="002F5F2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.</w:t>
            </w:r>
          </w:p>
          <w:p w14:paraId="6EA269B8" w14:textId="724F200E" w:rsidR="00813DB6" w:rsidRDefault="002123CD" w:rsidP="00E661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მონაცემთა ანალიზი</w:t>
            </w:r>
            <w:r w:rsidR="00DF6067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განხორციელება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, მთავარი ტენდენციები</w:t>
            </w:r>
            <w:r w:rsidR="00DF6067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და მიგნებები</w:t>
            </w:r>
            <w:r w:rsidR="00DF6067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გამოკვეთა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. </w:t>
            </w:r>
          </w:p>
          <w:p w14:paraId="7EDDF03F" w14:textId="49F72F0E" w:rsidR="002123CD" w:rsidRDefault="002123CD" w:rsidP="002123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კვლევის მთავარი მიგნებები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და ტენდენციები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გაზიარება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. </w:t>
            </w:r>
          </w:p>
          <w:p w14:paraId="0875BF85" w14:textId="3EAA9B13" w:rsidR="002123CD" w:rsidRPr="002123CD" w:rsidRDefault="002123CD" w:rsidP="002123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lastRenderedPageBreak/>
              <w:t>სოციალური სამართლიანობის ცენტრ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მიერ, კვლევითი ორგანიზაციისთვის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კომენტარები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, მოსაზრებები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და რეკომენდაციები</w:t>
            </w:r>
            <w:r w:rsidR="00E22B5D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414266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გაზიარება.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207228" w14:textId="38AF0F22" w:rsidR="002123CD" w:rsidRDefault="00476C2C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lastRenderedPageBreak/>
              <w:t>11</w:t>
            </w:r>
            <w:r w:rsidR="00AB1FA0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.0</w:t>
            </w:r>
            <w:r w:rsidR="009223BB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9</w:t>
            </w:r>
            <w:r w:rsidR="00AB1FA0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.2022</w:t>
            </w:r>
            <w:r w:rsidR="0072106D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-</w:t>
            </w:r>
          </w:p>
          <w:p w14:paraId="2840F8BB" w14:textId="4EDFCD12" w:rsidR="002123CD" w:rsidRDefault="009E448F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20</w:t>
            </w:r>
            <w:r w:rsidR="002123CD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</w:t>
            </w:r>
            <w:r w:rsidR="009223BB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10</w:t>
            </w:r>
            <w:r w:rsidR="002123CD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.2022</w:t>
            </w:r>
          </w:p>
        </w:tc>
      </w:tr>
      <w:tr w:rsidR="00B9511A" w:rsidRPr="008C1F49" w14:paraId="1D3E2A88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1244CC69" w14:textId="7CC60DC2" w:rsidR="00B9511A" w:rsidRDefault="00B9511A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შუალედური შედეგი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74629356" w14:textId="77245DC6" w:rsidR="00B9511A" w:rsidRDefault="00B9511A" w:rsidP="00B9511A">
            <w:pPr>
              <w:pStyle w:val="ListParagraph"/>
              <w:spacing w:after="0" w:line="240" w:lineRule="auto"/>
              <w:ind w:left="246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დასრულებულია მონაცემთა ანალიზი.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599" w:themeFill="accent4" w:themeFillTint="66"/>
          </w:tcPr>
          <w:p w14:paraId="04BB371E" w14:textId="5904B2A2" w:rsidR="00B9511A" w:rsidRDefault="00B9511A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2</w:t>
            </w:r>
            <w:r w:rsidR="009E448F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0</w:t>
            </w: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.10.2022</w:t>
            </w:r>
            <w:r w:rsidR="002B52AD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br/>
            </w:r>
          </w:p>
        </w:tc>
      </w:tr>
      <w:tr w:rsidR="00B9511A" w:rsidRPr="008C1F49" w14:paraId="58E54498" w14:textId="77777777" w:rsidTr="00AA316B"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2331D2" w14:textId="2C38E8B0" w:rsidR="00F96EAD" w:rsidRDefault="00F96EAD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4. კვლევის შემაჯამებელი წერილობითი ანგარიშის წარმოდგენა</w:t>
            </w:r>
            <w:r w:rsidR="00B23C8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8A83F" w14:textId="657C90F3" w:rsidR="00E04FEE" w:rsidRDefault="00E04FEE" w:rsidP="00E04F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კონტრაქტო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რი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კვლევის განმახორციელებელ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ორგანიზაცი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კვლევის ანგარიში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ს წარმოდგენა, 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რომელშიც</w:t>
            </w:r>
            <w:r w:rsidRPr="00E04FE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იდენტიფიცირებულია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Pr="00E04FE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მოსახლეობის განწყობები ნარკოპოლიტიკის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, ზოგადად ნარკოტიკული საშუალებების, ნარკოპოლიტიკის შესაძლო ლიბერალიზაციისა და კვლევის კითხვარში ასახული საკითხების/თემების მიმართ.</w:t>
            </w:r>
          </w:p>
          <w:p w14:paraId="3FBE4B3B" w14:textId="7A6DF5C7" w:rsidR="005562AF" w:rsidRDefault="005562AF" w:rsidP="00E04F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სოციალური სამართლიანობის ცენტრ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კვლევის ანგარიშის შესახებ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თავისი მოსაზრებები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სა და 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რეკომენდაციები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გაზიარება.</w:t>
            </w:r>
          </w:p>
          <w:p w14:paraId="633B37ED" w14:textId="1F5D54C2" w:rsidR="001C790A" w:rsidRPr="00E04FEE" w:rsidRDefault="001C790A" w:rsidP="00E04F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კონტრაქტორ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ორგანიზაცი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ის მიერ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კვლევის საბოლოო ანგარიში</w:t>
            </w:r>
            <w:r w:rsidR="001D5C18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 წარმოდგენა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, რომელშიც სრულყოფილად და ამომწურავად არის დამუშავებული კვლევის კითხვარით იდენტიფიცირებული საკითხები, გამოკვეთილია მოსახლეობის განწყობები ნარკოპოლიტიკის თემაზე, ასევე</w:t>
            </w:r>
            <w:r w:rsidR="00E37750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გათვალისწინებულია სოციალური სამართლიანობის ცენტრის მოსაზრებები და რეკომენდაციები. 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DD7BDA" w14:textId="27D093B2" w:rsidR="001C790A" w:rsidRDefault="00B9511A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2</w:t>
            </w:r>
            <w:r w:rsidR="009E448F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</w:t>
            </w:r>
            <w:r w:rsidR="005562AF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</w:t>
            </w:r>
            <w:r w:rsidR="008C6AF9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</w:t>
            </w:r>
            <w:r w:rsidR="00422BA2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0</w:t>
            </w:r>
            <w:r w:rsidR="005562AF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.2022</w:t>
            </w: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-</w:t>
            </w:r>
            <w:r w:rsidR="003A6305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15</w:t>
            </w:r>
            <w:r w:rsidR="001C790A"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.11.2022</w:t>
            </w:r>
          </w:p>
        </w:tc>
      </w:tr>
      <w:tr w:rsidR="001D75AE" w:rsidRPr="008C1F49" w14:paraId="22A46EEE" w14:textId="77777777" w:rsidTr="00AA316B">
        <w:tc>
          <w:tcPr>
            <w:tcW w:w="279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112AA7D9" w14:textId="48650523" w:rsidR="001D75AE" w:rsidRDefault="001D75AE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საბოლოო შედეგი</w:t>
            </w:r>
          </w:p>
        </w:tc>
        <w:tc>
          <w:tcPr>
            <w:tcW w:w="535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2C75FBF6" w14:textId="5FBA6BE2" w:rsidR="001D75AE" w:rsidRDefault="001C46A8" w:rsidP="00E04F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jc w:val="both"/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შესრულებულია</w:t>
            </w:r>
            <w:r w:rsidR="001D75AE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ყველა დავალება, მათ შორის </w:t>
            </w:r>
            <w:r w:rsidR="008A2A6A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ტექნიკური და ადმინისტრაციული </w:t>
            </w:r>
            <w:r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>სამუშაოები.</w:t>
            </w:r>
            <w:r w:rsidR="008A2A6A">
              <w:rPr>
                <w:rFonts w:ascii="Sylfaen" w:eastAsia="Times New Roman" w:hAnsi="Sylfaen" w:cs="Times New Roman"/>
                <w:iCs/>
                <w:sz w:val="20"/>
                <w:szCs w:val="20"/>
                <w:lang w:val="ka-GE"/>
              </w:rPr>
              <w:t xml:space="preserve"> კვლევითმა ორგანიზაციამ წარმოადგინა კვლევის ანგარიში.</w:t>
            </w:r>
          </w:p>
        </w:tc>
        <w:tc>
          <w:tcPr>
            <w:tcW w:w="140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454FD4D3" w14:textId="54BE11BF" w:rsidR="001D75AE" w:rsidRDefault="008A2A6A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  <w:t>15.11.2022</w:t>
            </w:r>
          </w:p>
        </w:tc>
      </w:tr>
    </w:tbl>
    <w:p w14:paraId="77C09E41" w14:textId="712EE5CF" w:rsidR="00F26EB1" w:rsidRPr="002D20FB" w:rsidRDefault="00D7654C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br/>
      </w:r>
      <w:r w:rsidR="00F26EB1">
        <w:rPr>
          <w:rFonts w:ascii="Sylfaen" w:hAnsi="Sylfaen"/>
          <w:bCs/>
          <w:sz w:val="22"/>
          <w:szCs w:val="22"/>
          <w:lang w:val="ka-GE"/>
        </w:rPr>
        <w:t xml:space="preserve">აღნიშნული დოკუმენტი წარმოადგეს კვლევითი მომსახურების შესრულების შესახებ გამოცხადებული კონკურსის არსებით შემადგენელ ნაწილს. </w:t>
      </w:r>
    </w:p>
    <w:sectPr w:rsidR="00F26EB1" w:rsidRPr="002D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6F4"/>
    <w:multiLevelType w:val="hybridMultilevel"/>
    <w:tmpl w:val="7D6A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97C"/>
    <w:multiLevelType w:val="hybridMultilevel"/>
    <w:tmpl w:val="674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27F"/>
    <w:multiLevelType w:val="hybridMultilevel"/>
    <w:tmpl w:val="1670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2765"/>
    <w:multiLevelType w:val="hybridMultilevel"/>
    <w:tmpl w:val="0CB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31C62"/>
    <w:multiLevelType w:val="hybridMultilevel"/>
    <w:tmpl w:val="CF2AFEA8"/>
    <w:lvl w:ilvl="0" w:tplc="2780C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286C"/>
    <w:multiLevelType w:val="hybridMultilevel"/>
    <w:tmpl w:val="F6826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7401"/>
    <w:multiLevelType w:val="hybridMultilevel"/>
    <w:tmpl w:val="3EB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3789"/>
    <w:multiLevelType w:val="hybridMultilevel"/>
    <w:tmpl w:val="0694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D"/>
    <w:rsid w:val="000241FA"/>
    <w:rsid w:val="00025A31"/>
    <w:rsid w:val="000445A4"/>
    <w:rsid w:val="00065144"/>
    <w:rsid w:val="00067A3A"/>
    <w:rsid w:val="00080341"/>
    <w:rsid w:val="000D3622"/>
    <w:rsid w:val="000D7FE0"/>
    <w:rsid w:val="000E66C8"/>
    <w:rsid w:val="000F1314"/>
    <w:rsid w:val="000F38C3"/>
    <w:rsid w:val="000F419D"/>
    <w:rsid w:val="001159C0"/>
    <w:rsid w:val="00151841"/>
    <w:rsid w:val="00191C1F"/>
    <w:rsid w:val="00191CD9"/>
    <w:rsid w:val="00192B27"/>
    <w:rsid w:val="00194423"/>
    <w:rsid w:val="001A26B6"/>
    <w:rsid w:val="001C46A8"/>
    <w:rsid w:val="001C790A"/>
    <w:rsid w:val="001D5C18"/>
    <w:rsid w:val="001D75AE"/>
    <w:rsid w:val="001E253E"/>
    <w:rsid w:val="001E4AC3"/>
    <w:rsid w:val="001E772D"/>
    <w:rsid w:val="002011CC"/>
    <w:rsid w:val="002123CD"/>
    <w:rsid w:val="002258DA"/>
    <w:rsid w:val="002327E5"/>
    <w:rsid w:val="00240837"/>
    <w:rsid w:val="0028089A"/>
    <w:rsid w:val="00280B03"/>
    <w:rsid w:val="002B52AD"/>
    <w:rsid w:val="002B6159"/>
    <w:rsid w:val="002D20FB"/>
    <w:rsid w:val="002F5F28"/>
    <w:rsid w:val="0031219A"/>
    <w:rsid w:val="00334EAD"/>
    <w:rsid w:val="00343C85"/>
    <w:rsid w:val="00353429"/>
    <w:rsid w:val="00362E18"/>
    <w:rsid w:val="003757D6"/>
    <w:rsid w:val="00382C2C"/>
    <w:rsid w:val="00386B99"/>
    <w:rsid w:val="00391966"/>
    <w:rsid w:val="003A385E"/>
    <w:rsid w:val="003A6305"/>
    <w:rsid w:val="003C0BF8"/>
    <w:rsid w:val="003C6408"/>
    <w:rsid w:val="003D2DC7"/>
    <w:rsid w:val="003E71A7"/>
    <w:rsid w:val="0041324F"/>
    <w:rsid w:val="00414266"/>
    <w:rsid w:val="00422BA2"/>
    <w:rsid w:val="00433BE1"/>
    <w:rsid w:val="004422A3"/>
    <w:rsid w:val="00447359"/>
    <w:rsid w:val="004502E4"/>
    <w:rsid w:val="0047684D"/>
    <w:rsid w:val="00476C2C"/>
    <w:rsid w:val="0047772B"/>
    <w:rsid w:val="0048656D"/>
    <w:rsid w:val="00492241"/>
    <w:rsid w:val="00500166"/>
    <w:rsid w:val="005507EC"/>
    <w:rsid w:val="005562AF"/>
    <w:rsid w:val="00594D51"/>
    <w:rsid w:val="005B1837"/>
    <w:rsid w:val="005C20C4"/>
    <w:rsid w:val="005C3FCE"/>
    <w:rsid w:val="005C6EC0"/>
    <w:rsid w:val="005D7030"/>
    <w:rsid w:val="005E4A4E"/>
    <w:rsid w:val="0063632B"/>
    <w:rsid w:val="0066014B"/>
    <w:rsid w:val="006A62CB"/>
    <w:rsid w:val="006B039A"/>
    <w:rsid w:val="006B2FCE"/>
    <w:rsid w:val="006E7D1C"/>
    <w:rsid w:val="0072106D"/>
    <w:rsid w:val="00723627"/>
    <w:rsid w:val="00736252"/>
    <w:rsid w:val="0074362F"/>
    <w:rsid w:val="00743F9A"/>
    <w:rsid w:val="0077625B"/>
    <w:rsid w:val="007B2640"/>
    <w:rsid w:val="007B391A"/>
    <w:rsid w:val="007C386C"/>
    <w:rsid w:val="007D6B5B"/>
    <w:rsid w:val="007F41E3"/>
    <w:rsid w:val="00813DB6"/>
    <w:rsid w:val="00827C04"/>
    <w:rsid w:val="00845861"/>
    <w:rsid w:val="00850161"/>
    <w:rsid w:val="008563E7"/>
    <w:rsid w:val="00894655"/>
    <w:rsid w:val="008A21D9"/>
    <w:rsid w:val="008A2A6A"/>
    <w:rsid w:val="008A4F96"/>
    <w:rsid w:val="008C6AF9"/>
    <w:rsid w:val="00904314"/>
    <w:rsid w:val="00904863"/>
    <w:rsid w:val="00907F3E"/>
    <w:rsid w:val="0092080D"/>
    <w:rsid w:val="009223BB"/>
    <w:rsid w:val="009744B6"/>
    <w:rsid w:val="00990C20"/>
    <w:rsid w:val="009B4AA6"/>
    <w:rsid w:val="009C5472"/>
    <w:rsid w:val="009E448F"/>
    <w:rsid w:val="009F001B"/>
    <w:rsid w:val="009F6570"/>
    <w:rsid w:val="00A06C38"/>
    <w:rsid w:val="00A264EC"/>
    <w:rsid w:val="00A376B4"/>
    <w:rsid w:val="00A41690"/>
    <w:rsid w:val="00A527D4"/>
    <w:rsid w:val="00A53641"/>
    <w:rsid w:val="00A60B3B"/>
    <w:rsid w:val="00A65382"/>
    <w:rsid w:val="00A80D56"/>
    <w:rsid w:val="00AA316B"/>
    <w:rsid w:val="00AB1FA0"/>
    <w:rsid w:val="00AB7481"/>
    <w:rsid w:val="00AC69AB"/>
    <w:rsid w:val="00B02B31"/>
    <w:rsid w:val="00B23C8A"/>
    <w:rsid w:val="00B548BD"/>
    <w:rsid w:val="00B67993"/>
    <w:rsid w:val="00B7132B"/>
    <w:rsid w:val="00B71331"/>
    <w:rsid w:val="00B737F8"/>
    <w:rsid w:val="00B81B65"/>
    <w:rsid w:val="00B920CF"/>
    <w:rsid w:val="00B93E1B"/>
    <w:rsid w:val="00B9511A"/>
    <w:rsid w:val="00BA5C11"/>
    <w:rsid w:val="00BB3FAC"/>
    <w:rsid w:val="00BB6861"/>
    <w:rsid w:val="00BC43D5"/>
    <w:rsid w:val="00BD12E8"/>
    <w:rsid w:val="00BD394E"/>
    <w:rsid w:val="00C01B5A"/>
    <w:rsid w:val="00C06B35"/>
    <w:rsid w:val="00C37F63"/>
    <w:rsid w:val="00C45D85"/>
    <w:rsid w:val="00C54D5D"/>
    <w:rsid w:val="00C65146"/>
    <w:rsid w:val="00C73321"/>
    <w:rsid w:val="00C81AC8"/>
    <w:rsid w:val="00C835DB"/>
    <w:rsid w:val="00C87967"/>
    <w:rsid w:val="00CA2FB0"/>
    <w:rsid w:val="00CB0E3A"/>
    <w:rsid w:val="00CD0A45"/>
    <w:rsid w:val="00CD3804"/>
    <w:rsid w:val="00CE2B1F"/>
    <w:rsid w:val="00CF35B7"/>
    <w:rsid w:val="00D05CDE"/>
    <w:rsid w:val="00D0663B"/>
    <w:rsid w:val="00D07A14"/>
    <w:rsid w:val="00D3199C"/>
    <w:rsid w:val="00D3307F"/>
    <w:rsid w:val="00D36572"/>
    <w:rsid w:val="00D504AC"/>
    <w:rsid w:val="00D51A62"/>
    <w:rsid w:val="00D73DF9"/>
    <w:rsid w:val="00D7455C"/>
    <w:rsid w:val="00D7654C"/>
    <w:rsid w:val="00D87917"/>
    <w:rsid w:val="00D92AE0"/>
    <w:rsid w:val="00DA1203"/>
    <w:rsid w:val="00DB6B5E"/>
    <w:rsid w:val="00DC0137"/>
    <w:rsid w:val="00DD5193"/>
    <w:rsid w:val="00DF6067"/>
    <w:rsid w:val="00E04FEE"/>
    <w:rsid w:val="00E054E5"/>
    <w:rsid w:val="00E22B5D"/>
    <w:rsid w:val="00E24072"/>
    <w:rsid w:val="00E37750"/>
    <w:rsid w:val="00E66199"/>
    <w:rsid w:val="00E66EAB"/>
    <w:rsid w:val="00E8778E"/>
    <w:rsid w:val="00E92262"/>
    <w:rsid w:val="00ED0AD4"/>
    <w:rsid w:val="00ED2B81"/>
    <w:rsid w:val="00ED3FDF"/>
    <w:rsid w:val="00F113DB"/>
    <w:rsid w:val="00F15637"/>
    <w:rsid w:val="00F17641"/>
    <w:rsid w:val="00F26EB1"/>
    <w:rsid w:val="00F5032C"/>
    <w:rsid w:val="00F67959"/>
    <w:rsid w:val="00F87BB2"/>
    <w:rsid w:val="00F96EAD"/>
    <w:rsid w:val="00FC5BE5"/>
    <w:rsid w:val="00FD0889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F451"/>
  <w15:chartTrackingRefBased/>
  <w15:docId w15:val="{1B8B6AC7-B035-44EB-B602-4B5E5D1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Potskhverishvili</dc:creator>
  <cp:keywords/>
  <dc:description/>
  <cp:lastModifiedBy>Giorgi Potskhverishvili</cp:lastModifiedBy>
  <cp:revision>117</cp:revision>
  <dcterms:created xsi:type="dcterms:W3CDTF">2022-05-10T15:15:00Z</dcterms:created>
  <dcterms:modified xsi:type="dcterms:W3CDTF">2022-05-11T16:59:00Z</dcterms:modified>
</cp:coreProperties>
</file>